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18/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/2023 na dostawę rozdzielnic przenośnych i przedłużaczy zwijanych.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3152"/>
        <w:gridCol w:w="3119"/>
        <w:gridCol w:w="2976"/>
      </w:tblGrid>
      <w:tr>
        <w:trPr>
          <w:cantSplit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Rozdzielnica przenośna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bookmarkStart w:id="1" w:name="_Hlk141883553"/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Przedłużacz zwijany</w:t>
            </w:r>
            <w:bookmarkEnd w:id="1"/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18/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/2023 na dostawę rozdzielnic przenośnych i przedłużaczy zwijanych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99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4</Pages>
  <Words>386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136</cp:revision>
  <cp:lastPrinted>2021-09-21T12:17:00Z</cp:lastPrinted>
  <dcterms:created xsi:type="dcterms:W3CDTF">2019-10-07T08:44:00Z</dcterms:created>
  <dcterms:modified xsi:type="dcterms:W3CDTF">2023-09-25T08:07:00Z</dcterms:modified>
  <cp:contentStatus/>
</cp:coreProperties>
</file>